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9F0BF" w14:textId="38C3388A" w:rsidR="005A6BBC" w:rsidRPr="000F1CBD" w:rsidRDefault="000F1CBD" w:rsidP="005A6BBC">
      <w:pPr>
        <w:jc w:val="center"/>
        <w:rPr>
          <w:b/>
          <w:bCs/>
          <w:sz w:val="36"/>
          <w:szCs w:val="36"/>
        </w:rPr>
      </w:pPr>
      <w:r w:rsidRPr="000F1CBD">
        <w:rPr>
          <w:b/>
          <w:bCs/>
          <w:sz w:val="36"/>
          <w:szCs w:val="36"/>
        </w:rPr>
        <w:t>SCHEDULE 17: EHV CHARGING METHODOLOGY (FCP MODEL)</w:t>
      </w:r>
    </w:p>
    <w:p w14:paraId="7D3D19BF" w14:textId="0B5F8466" w:rsidR="00C050AE" w:rsidRDefault="005A6BBC" w:rsidP="005A6BBC">
      <w:pPr>
        <w:jc w:val="center"/>
        <w:rPr>
          <w:b/>
          <w:bCs/>
          <w:sz w:val="28"/>
          <w:szCs w:val="28"/>
          <w:u w:val="single"/>
        </w:rPr>
      </w:pPr>
      <w:r w:rsidRPr="000F1CBD">
        <w:rPr>
          <w:b/>
          <w:bCs/>
          <w:sz w:val="28"/>
          <w:szCs w:val="28"/>
          <w:u w:val="single"/>
        </w:rPr>
        <w:t>18. DEMAND SCALING</w:t>
      </w:r>
    </w:p>
    <w:p w14:paraId="12CC620E" w14:textId="580674C4" w:rsidR="00622BBD" w:rsidRDefault="00622BBD" w:rsidP="00622BBD">
      <w:pPr>
        <w:ind w:left="720" w:hanging="720"/>
      </w:pPr>
      <w:r>
        <w:t>18.22</w:t>
      </w:r>
      <w:r>
        <w:tab/>
        <w:t>Where excessive surplus residual revenue occurs within the EDCM model</w:t>
      </w:r>
      <w:r w:rsidR="00EC0935">
        <w:t xml:space="preserve"> at a tariff set case</w:t>
      </w:r>
      <w:r>
        <w:t xml:space="preserve"> (demonstrated by negative fixed charges</w:t>
      </w:r>
      <w:r w:rsidR="007761F6">
        <w:t xml:space="preserve"> </w:t>
      </w:r>
      <w:r w:rsidR="007761F6" w:rsidRPr="007761F6">
        <w:t xml:space="preserve">or </w:t>
      </w:r>
      <w:r w:rsidR="007761F6">
        <w:t xml:space="preserve">where </w:t>
      </w:r>
      <w:r w:rsidR="007761F6" w:rsidRPr="007761F6">
        <w:t>the load forecast applied for the charging year causes the FCP models not to converge</w:t>
      </w:r>
      <w:r>
        <w:t xml:space="preserve">), the following </w:t>
      </w:r>
      <w:r w:rsidR="00D05A7A">
        <w:t xml:space="preserve">intervention </w:t>
      </w:r>
      <w:r>
        <w:t>option(s) should be applied by affected DNOs</w:t>
      </w:r>
      <w:r w:rsidR="00557070">
        <w:t xml:space="preserve">: </w:t>
      </w:r>
    </w:p>
    <w:p w14:paraId="780D6BE7" w14:textId="5909AB78" w:rsidR="00BF2933" w:rsidRDefault="00BF2933" w:rsidP="00BF2933">
      <w:pPr>
        <w:pStyle w:val="ListParagraph"/>
        <w:numPr>
          <w:ilvl w:val="0"/>
          <w:numId w:val="2"/>
        </w:numPr>
        <w:ind w:left="993" w:hanging="284"/>
      </w:pPr>
      <w:r>
        <w:rPr>
          <w:bCs/>
        </w:rPr>
        <w:t>Where</w:t>
      </w:r>
      <w:r w:rsidRPr="00510B6F">
        <w:rPr>
          <w:bCs/>
        </w:rPr>
        <w:t xml:space="preserve"> </w:t>
      </w:r>
      <w:r w:rsidRPr="00B936E9">
        <w:t>the principal cause of excessive surplus residual is a reduction in allowed revenue, reapportion negative fixed charges for final demand consumers within a residual band to the capacity charge for the same group of consumers.</w:t>
      </w:r>
    </w:p>
    <w:p w14:paraId="589EB72B" w14:textId="77777777" w:rsidR="00BF2933" w:rsidRDefault="00BF2933" w:rsidP="00E47B9F">
      <w:pPr>
        <w:pStyle w:val="ListParagraph"/>
        <w:ind w:left="993"/>
      </w:pPr>
    </w:p>
    <w:p w14:paraId="3C2A28A6" w14:textId="29A9EE66" w:rsidR="00D05A7A" w:rsidRDefault="00BF2933" w:rsidP="00D05A7A">
      <w:pPr>
        <w:pStyle w:val="ListParagraph"/>
        <w:numPr>
          <w:ilvl w:val="0"/>
          <w:numId w:val="2"/>
        </w:numPr>
        <w:ind w:left="993" w:hanging="284"/>
      </w:pPr>
      <w:r>
        <w:rPr>
          <w:bCs/>
        </w:rPr>
        <w:t>Where</w:t>
      </w:r>
      <w:r w:rsidRPr="00510B6F">
        <w:rPr>
          <w:bCs/>
        </w:rPr>
        <w:t xml:space="preserve"> </w:t>
      </w:r>
      <w:r w:rsidRPr="00B936E9">
        <w:t>the principal cause of excessive surplus residual is a</w:t>
      </w:r>
      <w:r>
        <w:t>n</w:t>
      </w:r>
      <w:r w:rsidRPr="00BF2933">
        <w:t xml:space="preserve"> increase in forward-looking charges</w:t>
      </w:r>
      <w:r>
        <w:t xml:space="preserve">,  </w:t>
      </w:r>
      <w:r w:rsidRPr="00BF2933">
        <w:t>the DNO may</w:t>
      </w:r>
      <w:r w:rsidR="00D05A7A">
        <w:t xml:space="preserve">: </w:t>
      </w:r>
    </w:p>
    <w:p w14:paraId="74873D12" w14:textId="77777777" w:rsidR="00D05A7A" w:rsidRDefault="00D05A7A" w:rsidP="00E47B9F">
      <w:pPr>
        <w:pStyle w:val="ListParagraph"/>
      </w:pPr>
    </w:p>
    <w:p w14:paraId="22904933" w14:textId="2237BA31" w:rsidR="00BF2933" w:rsidRDefault="00B936E9" w:rsidP="00E47B9F">
      <w:pPr>
        <w:pStyle w:val="ListParagraph"/>
        <w:numPr>
          <w:ilvl w:val="0"/>
          <w:numId w:val="4"/>
        </w:numPr>
        <w:ind w:left="1418"/>
      </w:pPr>
      <w:r w:rsidRPr="00E47B9F">
        <w:rPr>
          <w:bCs/>
        </w:rPr>
        <w:t xml:space="preserve">Carry over locational components and network use factors from </w:t>
      </w:r>
      <w:r w:rsidR="00032343">
        <w:rPr>
          <w:bCs/>
        </w:rPr>
        <w:t xml:space="preserve">the </w:t>
      </w:r>
      <w:r w:rsidRPr="00E47B9F">
        <w:rPr>
          <w:bCs/>
        </w:rPr>
        <w:t>previous year</w:t>
      </w:r>
      <w:r w:rsidR="00BF2933">
        <w:t>; or</w:t>
      </w:r>
    </w:p>
    <w:p w14:paraId="57837225" w14:textId="33C80032" w:rsidR="00557070" w:rsidRPr="00B936E9" w:rsidRDefault="00BF2933" w:rsidP="00E47B9F">
      <w:pPr>
        <w:pStyle w:val="ListParagraph"/>
        <w:numPr>
          <w:ilvl w:val="0"/>
          <w:numId w:val="4"/>
        </w:numPr>
        <w:ind w:left="1418"/>
      </w:pPr>
      <w:r>
        <w:t>Apply the</w:t>
      </w:r>
      <w:r w:rsidRPr="00853529">
        <w:t xml:space="preserve"> load growth assumptions used to create</w:t>
      </w:r>
      <w:r w:rsidR="00D05A7A">
        <w:t xml:space="preserve"> </w:t>
      </w:r>
      <w:r w:rsidRPr="00853529">
        <w:t xml:space="preserve">prices in the </w:t>
      </w:r>
      <w:r w:rsidR="006113DD">
        <w:t xml:space="preserve">previous year’s </w:t>
      </w:r>
      <w:r w:rsidR="00D05A7A">
        <w:t xml:space="preserve">tariff setting process </w:t>
      </w:r>
      <w:r w:rsidRPr="00853529">
        <w:t xml:space="preserve">together with the </w:t>
      </w:r>
      <w:r w:rsidR="00EC0935">
        <w:t>latest</w:t>
      </w:r>
      <w:r w:rsidRPr="00853529">
        <w:t xml:space="preserve"> Authorised Network Model</w:t>
      </w:r>
      <w:r w:rsidR="00D05A7A">
        <w:t xml:space="preserve">.   </w:t>
      </w:r>
    </w:p>
    <w:p w14:paraId="3B2D817E" w14:textId="47AD9879" w:rsidR="00D05A7A" w:rsidRDefault="00C97432" w:rsidP="00D05A7A">
      <w:pPr>
        <w:ind w:left="720" w:hanging="720"/>
      </w:pPr>
      <w:r>
        <w:t>18.23</w:t>
      </w:r>
      <w:r>
        <w:tab/>
      </w:r>
      <w:r w:rsidR="00D05A7A">
        <w:t xml:space="preserve">Where an </w:t>
      </w:r>
      <w:r w:rsidR="00D05A7A" w:rsidRPr="00853529">
        <w:t xml:space="preserve">intervention option </w:t>
      </w:r>
      <w:r w:rsidR="00D05A7A">
        <w:t xml:space="preserve">is utilised from paragraph 18.22 and </w:t>
      </w:r>
      <w:r w:rsidR="00D05A7A" w:rsidRPr="00853529">
        <w:t>do</w:t>
      </w:r>
      <w:r w:rsidR="00D05A7A">
        <w:t>es</w:t>
      </w:r>
      <w:r w:rsidR="00D05A7A" w:rsidRPr="00853529">
        <w:t xml:space="preserve"> not completely eradicate credit fixed charge rates due to the scale of </w:t>
      </w:r>
      <w:r w:rsidR="00D05A7A">
        <w:t>surplus residual</w:t>
      </w:r>
      <w:r w:rsidR="00D05A7A" w:rsidRPr="00853529">
        <w:t xml:space="preserve"> revenue</w:t>
      </w:r>
      <w:r w:rsidR="00D05A7A">
        <w:t>,</w:t>
      </w:r>
      <w:r w:rsidR="00D05A7A" w:rsidRPr="00853529">
        <w:t xml:space="preserve"> a second intervention </w:t>
      </w:r>
      <w:r w:rsidR="00D05A7A">
        <w:t xml:space="preserve">option from those listed may </w:t>
      </w:r>
      <w:r w:rsidR="00D05A7A" w:rsidRPr="00853529">
        <w:t>also be applied.</w:t>
      </w:r>
    </w:p>
    <w:p w14:paraId="615D921D" w14:textId="2CB5E2E0" w:rsidR="00D05A7A" w:rsidRDefault="00D05A7A" w:rsidP="00D05A7A">
      <w:pPr>
        <w:ind w:left="720" w:hanging="720"/>
      </w:pPr>
      <w:r>
        <w:t>18.24</w:t>
      </w:r>
      <w:r>
        <w:tab/>
        <w:t xml:space="preserve">DNOs should stipulate within the DUoS Charging Statements which intervention </w:t>
      </w:r>
      <w:r w:rsidR="009B0DAB">
        <w:t>o</w:t>
      </w:r>
      <w:r>
        <w:t xml:space="preserve">ption(s) </w:t>
      </w:r>
      <w:r w:rsidR="009B0DAB">
        <w:t>per 18.22</w:t>
      </w:r>
      <w:r w:rsidR="009C194E">
        <w:t>, if any,</w:t>
      </w:r>
      <w:r w:rsidR="009B0DAB">
        <w:t xml:space="preserve"> </w:t>
      </w:r>
      <w:r>
        <w:t>have been applied for the tariff setting year</w:t>
      </w:r>
      <w:r w:rsidR="009B0DAB">
        <w:t xml:space="preserve">. </w:t>
      </w:r>
    </w:p>
    <w:p w14:paraId="36C848D0" w14:textId="2FFB5616" w:rsidR="007C14F9" w:rsidRDefault="007C14F9" w:rsidP="00E47B9F"/>
    <w:p w14:paraId="5B9A7CC8" w14:textId="77777777" w:rsidR="00E834D2" w:rsidRDefault="00E834D2" w:rsidP="003C7D8A">
      <w:pPr>
        <w:jc w:val="center"/>
        <w:rPr>
          <w:b/>
          <w:bCs/>
          <w:sz w:val="28"/>
          <w:szCs w:val="28"/>
          <w:u w:val="single"/>
        </w:rPr>
      </w:pPr>
      <w:r w:rsidRPr="00E834D2">
        <w:rPr>
          <w:b/>
          <w:bCs/>
          <w:sz w:val="28"/>
          <w:szCs w:val="28"/>
          <w:u w:val="single"/>
        </w:rPr>
        <w:t>22. CHARGES FOR NEW CONNECTEES</w:t>
      </w:r>
    </w:p>
    <w:p w14:paraId="3044FDFA" w14:textId="781BBFD0" w:rsidR="00C97432" w:rsidRDefault="001718F2" w:rsidP="00C97432">
      <w:pPr>
        <w:ind w:left="720" w:hanging="720"/>
      </w:pPr>
      <w:r w:rsidRPr="001718F2">
        <w:t>22.</w:t>
      </w:r>
      <w:r w:rsidR="00134A8B">
        <w:t>5</w:t>
      </w:r>
      <w:r>
        <w:tab/>
      </w:r>
      <w:r w:rsidRPr="001718F2">
        <w:t xml:space="preserve">If an intervention option to alleviate excessive surplus residual has been applied at a tariff set case in line with section 18.22, any new EDCM </w:t>
      </w:r>
      <w:proofErr w:type="spellStart"/>
      <w:r w:rsidRPr="001718F2">
        <w:t>connectees</w:t>
      </w:r>
      <w:proofErr w:type="spellEnd"/>
      <w:r w:rsidRPr="001718F2">
        <w:t xml:space="preserve"> for that year should have their charges calculated on an equivalent basis. </w:t>
      </w:r>
    </w:p>
    <w:p w14:paraId="1C81697E" w14:textId="77777777" w:rsidR="00E834D2" w:rsidRPr="003C7D8A" w:rsidRDefault="00E834D2" w:rsidP="003C7D8A">
      <w:pPr>
        <w:jc w:val="center"/>
        <w:rPr>
          <w:b/>
          <w:bCs/>
          <w:sz w:val="28"/>
          <w:szCs w:val="28"/>
          <w:u w:val="single"/>
        </w:rPr>
      </w:pPr>
      <w:r w:rsidRPr="003C7D8A">
        <w:rPr>
          <w:b/>
          <w:bCs/>
          <w:sz w:val="28"/>
          <w:szCs w:val="28"/>
          <w:u w:val="single"/>
        </w:rPr>
        <w:t>Annex 1 - Implementation Guide</w:t>
      </w:r>
    </w:p>
    <w:p w14:paraId="6A88A701" w14:textId="77777777" w:rsidR="00E834D2" w:rsidRPr="003C7D8A" w:rsidRDefault="00E834D2" w:rsidP="003C7D8A">
      <w:pPr>
        <w:jc w:val="center"/>
        <w:rPr>
          <w:b/>
          <w:bCs/>
          <w:sz w:val="28"/>
          <w:szCs w:val="28"/>
          <w:u w:val="single"/>
        </w:rPr>
      </w:pPr>
      <w:r w:rsidRPr="003C7D8A">
        <w:rPr>
          <w:b/>
          <w:bCs/>
          <w:sz w:val="28"/>
          <w:szCs w:val="28"/>
          <w:u w:val="single"/>
        </w:rPr>
        <w:t>5. NETWORK DEMAND DATA</w:t>
      </w:r>
    </w:p>
    <w:p w14:paraId="5708F84A" w14:textId="793126FF" w:rsidR="00E834D2" w:rsidRPr="000F1CBD" w:rsidRDefault="00E834D2" w:rsidP="00E834D2">
      <w:pPr>
        <w:ind w:left="720" w:hanging="720"/>
      </w:pPr>
      <w:r>
        <w:t>5.4</w:t>
      </w:r>
      <w:r>
        <w:tab/>
        <w:t xml:space="preserve">Per Paragraph 18.22, if </w:t>
      </w:r>
      <w:r w:rsidR="00401105">
        <w:t xml:space="preserve">excessive surplus residual revenue occurs within </w:t>
      </w:r>
      <w:r>
        <w:t>the EDCM model and this is driven by the demand (load</w:t>
      </w:r>
      <w:r w:rsidR="00462F99">
        <w:t>/s</w:t>
      </w:r>
      <w:r>
        <w:t xml:space="preserve">) forecast within the LTDS, the DNO may apply the load growth scenario from the </w:t>
      </w:r>
      <w:r w:rsidR="0031593C" w:rsidRPr="0031593C">
        <w:t xml:space="preserve">previous year’s tariff setting process </w:t>
      </w:r>
      <w:r>
        <w:t xml:space="preserve">to the latest Authorised Network Model to </w:t>
      </w:r>
      <w:r w:rsidR="00075416">
        <w:t>eliminate negative fixed charges</w:t>
      </w:r>
      <w:r w:rsidR="00401105">
        <w:t xml:space="preserve"> within the EDCM model</w:t>
      </w:r>
      <w:r w:rsidR="00075416">
        <w:t xml:space="preserve">. </w:t>
      </w:r>
      <w:r>
        <w:t xml:space="preserve"> </w:t>
      </w:r>
    </w:p>
    <w:sectPr w:rsidR="00E834D2" w:rsidRPr="000F1CBD" w:rsidSect="005A6BBC">
      <w:headerReference w:type="even" r:id="rId11"/>
      <w:headerReference w:type="default" r:id="rId12"/>
      <w:headerReference w:type="first" r:id="rId13"/>
      <w:pgSz w:w="11906" w:h="16838" w:code="9"/>
      <w:pgMar w:top="1135" w:right="1134" w:bottom="1134" w:left="1134" w:header="454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E3BAD" w14:textId="77777777" w:rsidR="004E7C40" w:rsidRDefault="004E7C40" w:rsidP="00865A9D">
      <w:pPr>
        <w:spacing w:after="0" w:line="240" w:lineRule="auto"/>
      </w:pPr>
      <w:r>
        <w:separator/>
      </w:r>
    </w:p>
  </w:endnote>
  <w:endnote w:type="continuationSeparator" w:id="0">
    <w:p w14:paraId="1A10ACAA" w14:textId="77777777" w:rsidR="004E7C40" w:rsidRDefault="004E7C40" w:rsidP="00865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D5A0E" w14:textId="77777777" w:rsidR="004E7C40" w:rsidRDefault="004E7C40" w:rsidP="00865A9D">
      <w:pPr>
        <w:spacing w:after="0" w:line="240" w:lineRule="auto"/>
      </w:pPr>
      <w:r>
        <w:separator/>
      </w:r>
    </w:p>
  </w:footnote>
  <w:footnote w:type="continuationSeparator" w:id="0">
    <w:p w14:paraId="0B94ACBB" w14:textId="77777777" w:rsidR="004E7C40" w:rsidRDefault="004E7C40" w:rsidP="00865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EE2B" w14:textId="3CFCA426" w:rsidR="00865A9D" w:rsidRDefault="00865A9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33219CD" wp14:editId="169E72F6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945" cy="16510"/>
              <wp:effectExtent l="0" t="38100" r="8255" b="21590"/>
              <wp:wrapNone/>
              <wp:docPr id="1571090144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67945" cy="16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9F5216" w14:textId="611CC87E" w:rsidR="00865A9D" w:rsidRPr="00865A9D" w:rsidRDefault="00865A9D" w:rsidP="00865A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DCDCDC"/>
                              <w:sz w:val="2"/>
                              <w:szCs w:val="2"/>
                              <w14:textFill>
                                <w14:solidFill>
                                  <w14:srgbClr w14:val="DCDCDC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865A9D">
                            <w:rPr>
                              <w:rFonts w:ascii="Aptos" w:eastAsia="Aptos" w:hAnsi="Aptos" w:cs="Aptos"/>
                              <w:noProof/>
                              <w:color w:val="DCDCDC"/>
                              <w:sz w:val="2"/>
                              <w:szCs w:val="2"/>
                              <w14:textFill>
                                <w14:solidFill>
                                  <w14:srgbClr w14:val="DCDCDC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3219C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.35pt;height:1.3pt;rotation:-45;z-index:-251657216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" filled="f" stroked="f">
              <v:textbox style="mso-fit-shape-to-text:t" inset="0,0,0,0">
                <w:txbxContent>
                  <w:p w14:paraId="1E9F5216" w14:textId="611CC87E" w:rsidR="00865A9D" w:rsidRPr="00865A9D" w:rsidRDefault="00865A9D" w:rsidP="00865A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DCDCDC"/>
                        <w:sz w:val="2"/>
                        <w:szCs w:val="2"/>
                        <w14:textFill>
                          <w14:solidFill>
                            <w14:srgbClr w14:val="DCDCDC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865A9D">
                      <w:rPr>
                        <w:rFonts w:ascii="Aptos" w:eastAsia="Aptos" w:hAnsi="Aptos" w:cs="Aptos"/>
                        <w:noProof/>
                        <w:color w:val="DCDCDC"/>
                        <w:sz w:val="2"/>
                        <w:szCs w:val="2"/>
                        <w14:textFill>
                          <w14:solidFill>
                            <w14:srgbClr w14:val="DCDCDC">
                              <w14:alpha w14:val="50000"/>
                            </w14:srgbClr>
                          </w14:solidFill>
                        </w14:textFill>
                      </w:rPr>
                      <w:t>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A72F3" w14:textId="21230D86" w:rsidR="00865A9D" w:rsidRDefault="00865A9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8CA9217" wp14:editId="2E6F7C8E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945" cy="16510"/>
              <wp:effectExtent l="0" t="38100" r="8255" b="21590"/>
              <wp:wrapNone/>
              <wp:docPr id="80936231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67945" cy="16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5FCF49" w14:textId="6A9FD99E" w:rsidR="00865A9D" w:rsidRPr="00865A9D" w:rsidRDefault="00865A9D" w:rsidP="00865A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DCDCDC"/>
                              <w:sz w:val="2"/>
                              <w:szCs w:val="2"/>
                              <w14:textFill>
                                <w14:solidFill>
                                  <w14:srgbClr w14:val="DCDCDC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865A9D">
                            <w:rPr>
                              <w:rFonts w:ascii="Aptos" w:eastAsia="Aptos" w:hAnsi="Aptos" w:cs="Aptos"/>
                              <w:noProof/>
                              <w:color w:val="DCDCDC"/>
                              <w:sz w:val="2"/>
                              <w:szCs w:val="2"/>
                              <w14:textFill>
                                <w14:solidFill>
                                  <w14:srgbClr w14:val="DCDCDC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CA92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.35pt;height:1.3pt;rotation:-45;z-index:-251656192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" filled="f" stroked="f">
              <v:textbox style="mso-fit-shape-to-text:t" inset="0,0,0,0">
                <w:txbxContent>
                  <w:p w14:paraId="045FCF49" w14:textId="6A9FD99E" w:rsidR="00865A9D" w:rsidRPr="00865A9D" w:rsidRDefault="00865A9D" w:rsidP="00865A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DCDCDC"/>
                        <w:sz w:val="2"/>
                        <w:szCs w:val="2"/>
                        <w14:textFill>
                          <w14:solidFill>
                            <w14:srgbClr w14:val="DCDCDC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865A9D">
                      <w:rPr>
                        <w:rFonts w:ascii="Aptos" w:eastAsia="Aptos" w:hAnsi="Aptos" w:cs="Aptos"/>
                        <w:noProof/>
                        <w:color w:val="DCDCDC"/>
                        <w:sz w:val="2"/>
                        <w:szCs w:val="2"/>
                        <w14:textFill>
                          <w14:solidFill>
                            <w14:srgbClr w14:val="DCDCDC">
                              <w14:alpha w14:val="50000"/>
                            </w14:srgbClr>
                          </w14:solidFill>
                        </w14:textFill>
                      </w:rPr>
                      <w:t>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E8F4B" w14:textId="2F1C46A4" w:rsidR="00865A9D" w:rsidRDefault="00865A9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ACEC709" wp14:editId="547514A6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945" cy="16510"/>
              <wp:effectExtent l="0" t="38100" r="8255" b="21590"/>
              <wp:wrapNone/>
              <wp:docPr id="1084448550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67945" cy="16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C4A547" w14:textId="0A057D79" w:rsidR="00865A9D" w:rsidRPr="00865A9D" w:rsidRDefault="00865A9D" w:rsidP="00865A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DCDCDC"/>
                              <w:sz w:val="2"/>
                              <w:szCs w:val="2"/>
                              <w14:textFill>
                                <w14:solidFill>
                                  <w14:srgbClr w14:val="DCDCDC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865A9D">
                            <w:rPr>
                              <w:rFonts w:ascii="Aptos" w:eastAsia="Aptos" w:hAnsi="Aptos" w:cs="Aptos"/>
                              <w:noProof/>
                              <w:color w:val="DCDCDC"/>
                              <w:sz w:val="2"/>
                              <w:szCs w:val="2"/>
                              <w14:textFill>
                                <w14:solidFill>
                                  <w14:srgbClr w14:val="DCDCDC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CEC7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" style="position:absolute;margin-left:0;margin-top:0;width:5.35pt;height:1.3pt;rotation:-45;z-index:-25165824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" filled="f" stroked="f">
              <v:textbox style="mso-fit-shape-to-text:t" inset="0,0,0,0">
                <w:txbxContent>
                  <w:p w14:paraId="63C4A547" w14:textId="0A057D79" w:rsidR="00865A9D" w:rsidRPr="00865A9D" w:rsidRDefault="00865A9D" w:rsidP="00865A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DCDCDC"/>
                        <w:sz w:val="2"/>
                        <w:szCs w:val="2"/>
                        <w14:textFill>
                          <w14:solidFill>
                            <w14:srgbClr w14:val="DCDCDC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865A9D">
                      <w:rPr>
                        <w:rFonts w:ascii="Aptos" w:eastAsia="Aptos" w:hAnsi="Aptos" w:cs="Aptos"/>
                        <w:noProof/>
                        <w:color w:val="DCDCDC"/>
                        <w:sz w:val="2"/>
                        <w:szCs w:val="2"/>
                        <w14:textFill>
                          <w14:solidFill>
                            <w14:srgbClr w14:val="DCDCDC">
                              <w14:alpha w14:val="50000"/>
                            </w14:srgbClr>
                          </w14:solidFill>
                        </w14:textFill>
                      </w:rPr>
                      <w:t>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B6FF5"/>
    <w:multiLevelType w:val="hybridMultilevel"/>
    <w:tmpl w:val="9738A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F5EEE"/>
    <w:multiLevelType w:val="hybridMultilevel"/>
    <w:tmpl w:val="3F10B74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A0299"/>
    <w:multiLevelType w:val="hybridMultilevel"/>
    <w:tmpl w:val="7A36FA46"/>
    <w:lvl w:ilvl="0" w:tplc="7DF0D9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34A0C"/>
    <w:multiLevelType w:val="hybridMultilevel"/>
    <w:tmpl w:val="AF807424"/>
    <w:lvl w:ilvl="0" w:tplc="4EEAC54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171875780">
    <w:abstractNumId w:val="0"/>
  </w:num>
  <w:num w:numId="2" w16cid:durableId="464809115">
    <w:abstractNumId w:val="2"/>
  </w:num>
  <w:num w:numId="3" w16cid:durableId="1863089437">
    <w:abstractNumId w:val="3"/>
  </w:num>
  <w:num w:numId="4" w16cid:durableId="11007615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46F"/>
    <w:rsid w:val="0001720E"/>
    <w:rsid w:val="00032343"/>
    <w:rsid w:val="00075416"/>
    <w:rsid w:val="0008295E"/>
    <w:rsid w:val="00097EA6"/>
    <w:rsid w:val="000F1CBD"/>
    <w:rsid w:val="00134A8B"/>
    <w:rsid w:val="00136282"/>
    <w:rsid w:val="0015346F"/>
    <w:rsid w:val="0016308D"/>
    <w:rsid w:val="001718F2"/>
    <w:rsid w:val="001E5585"/>
    <w:rsid w:val="00270EF0"/>
    <w:rsid w:val="002F735D"/>
    <w:rsid w:val="0031593C"/>
    <w:rsid w:val="00360D6C"/>
    <w:rsid w:val="003C593B"/>
    <w:rsid w:val="003C7D8A"/>
    <w:rsid w:val="00401105"/>
    <w:rsid w:val="00426B4C"/>
    <w:rsid w:val="00457FF0"/>
    <w:rsid w:val="00462F99"/>
    <w:rsid w:val="004B0803"/>
    <w:rsid w:val="004E7C40"/>
    <w:rsid w:val="00557070"/>
    <w:rsid w:val="005A6BBC"/>
    <w:rsid w:val="005C56D7"/>
    <w:rsid w:val="005D5920"/>
    <w:rsid w:val="006113DD"/>
    <w:rsid w:val="00611C29"/>
    <w:rsid w:val="00622BBD"/>
    <w:rsid w:val="00656156"/>
    <w:rsid w:val="00712EC2"/>
    <w:rsid w:val="007753E7"/>
    <w:rsid w:val="007761F6"/>
    <w:rsid w:val="00786323"/>
    <w:rsid w:val="007927DD"/>
    <w:rsid w:val="007A19D7"/>
    <w:rsid w:val="007C14F9"/>
    <w:rsid w:val="007C59CE"/>
    <w:rsid w:val="007E08A1"/>
    <w:rsid w:val="007F1F8E"/>
    <w:rsid w:val="00865A9D"/>
    <w:rsid w:val="008A1254"/>
    <w:rsid w:val="009B0DAB"/>
    <w:rsid w:val="009B1DD3"/>
    <w:rsid w:val="009C194E"/>
    <w:rsid w:val="00A03ADD"/>
    <w:rsid w:val="00AB0926"/>
    <w:rsid w:val="00AC560B"/>
    <w:rsid w:val="00B41E88"/>
    <w:rsid w:val="00B57438"/>
    <w:rsid w:val="00B60610"/>
    <w:rsid w:val="00B84EA5"/>
    <w:rsid w:val="00B936E9"/>
    <w:rsid w:val="00BF2933"/>
    <w:rsid w:val="00C0124C"/>
    <w:rsid w:val="00C050AE"/>
    <w:rsid w:val="00C247BC"/>
    <w:rsid w:val="00C97432"/>
    <w:rsid w:val="00CE44D4"/>
    <w:rsid w:val="00D05A7A"/>
    <w:rsid w:val="00D31A95"/>
    <w:rsid w:val="00D879CE"/>
    <w:rsid w:val="00DA353C"/>
    <w:rsid w:val="00DE17AE"/>
    <w:rsid w:val="00E47B9F"/>
    <w:rsid w:val="00E834D2"/>
    <w:rsid w:val="00EC0935"/>
    <w:rsid w:val="33048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E5021"/>
  <w15:chartTrackingRefBased/>
  <w15:docId w15:val="{F20A0713-7695-46AF-AD63-397D52329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34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34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34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34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34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34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34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34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34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34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34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34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346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346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34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34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34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34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34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3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34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34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34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34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34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34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34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34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346F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57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F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7F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F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65A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5A9D"/>
  </w:style>
  <w:style w:type="paragraph" w:styleId="Revision">
    <w:name w:val="Revision"/>
    <w:hidden/>
    <w:uiPriority w:val="99"/>
    <w:semiHidden/>
    <w:rsid w:val="005570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D82CCE358ABC4A8E612162784C6687" ma:contentTypeVersion="7" ma:contentTypeDescription="Create a new document." ma:contentTypeScope="" ma:versionID="cf9df6ce9467352fb44524dabd7648bf">
  <xsd:schema xmlns:xsd="http://www.w3.org/2001/XMLSchema" xmlns:xs="http://www.w3.org/2001/XMLSchema" xmlns:p="http://schemas.microsoft.com/office/2006/metadata/properties" xmlns:ns2="8abc3cf7-4314-40f3-935d-c0e5a992bb94" targetNamespace="http://schemas.microsoft.com/office/2006/metadata/properties" ma:root="true" ma:fieldsID="101c87351ffd821b77b833e8c309ef42" ns2:_="">
    <xsd:import namespace="8abc3cf7-4314-40f3-935d-c0e5a992bb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c3cf7-4314-40f3-935d-c0e5a992bb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94A5C4-D4E4-457B-86D3-D0CB9D7900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BD46CD-A34E-4084-BCC1-9362371E92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EA76DF-AE53-4141-89E9-27BF3464D6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DCF382-4DF5-454A-B746-8AF995C902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bc3cf7-4314-40f3-935d-c0e5a992bb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301</Words>
  <Characters>1740</Characters>
  <Application>Microsoft Office Word</Application>
  <DocSecurity>0</DocSecurity>
  <Lines>40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Booth</dc:creator>
  <cp:keywords/>
  <dc:description/>
  <cp:lastModifiedBy>Craig Booth</cp:lastModifiedBy>
  <cp:revision>7</cp:revision>
  <dcterms:created xsi:type="dcterms:W3CDTF">2026-07-14T10:23:00Z</dcterms:created>
  <dcterms:modified xsi:type="dcterms:W3CDTF">2026-07-14T13:29:00Z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0x01010059D82CCE358ABC4A8E612162784C6687</vt:lpwstr>
  </property>
  <property fmtid="{D5CDD505-2E9C-101B-9397-08002B2CF9AE}" pid="3" name="ClassificationWatermarkShapeIds">
    <vt:lpwstr>40a35f26,5da4eee0,303de387</vt:lpwstr>
  </property>
  <property fmtid="{D5CDD505-2E9C-101B-9397-08002B2CF9AE}" pid="4" name="ClassificationWatermarkFontProps">
    <vt:lpwstr>#dcdcdc,1,Aptos</vt:lpwstr>
  </property>
  <property fmtid="{D5CDD505-2E9C-101B-9397-08002B2CF9AE}" pid="5" name="ClassificationWatermarkText">
    <vt:lpwstr>Confidential</vt:lpwstr>
  </property>
  <property fmtid="{D5CDD505-2E9C-101B-9397-08002B2CF9AE}" pid="6" name="MSIP_Label_9a1593e3-eb40-4b63-9198-a6ec3e998e52_Enabled">
    <vt:lpwstr>true</vt:lpwstr>
  </property>
  <property fmtid="{D5CDD505-2E9C-101B-9397-08002B2CF9AE}" pid="7" name="MSIP_Label_9a1593e3-eb40-4b63-9198-a6ec3e998e52_SetDate">
    <vt:lpwstr>2026-07-09T10:56:13Z</vt:lpwstr>
  </property>
  <property fmtid="{D5CDD505-2E9C-101B-9397-08002B2CF9AE}" pid="8" name="MSIP_Label_9a1593e3-eb40-4b63-9198-a6ec3e998e52_Method">
    <vt:lpwstr>Privileged</vt:lpwstr>
  </property>
  <property fmtid="{D5CDD505-2E9C-101B-9397-08002B2CF9AE}" pid="9" name="MSIP_Label_9a1593e3-eb40-4b63-9198-a6ec3e998e52_Name">
    <vt:lpwstr>9a1593e3-eb40-4b63-9198-a6ec3e998e52</vt:lpwstr>
  </property>
  <property fmtid="{D5CDD505-2E9C-101B-9397-08002B2CF9AE}" pid="10" name="MSIP_Label_9a1593e3-eb40-4b63-9198-a6ec3e998e52_SiteId">
    <vt:lpwstr>953b0f83-1ce6-45c3-82c9-1d847e372339</vt:lpwstr>
  </property>
  <property fmtid="{D5CDD505-2E9C-101B-9397-08002B2CF9AE}" pid="11" name="MSIP_Label_9a1593e3-eb40-4b63-9198-a6ec3e998e52_ActionId">
    <vt:lpwstr>f7b6ca28-5201-4e62-a2dd-7ebed314fdbb</vt:lpwstr>
  </property>
  <property fmtid="{D5CDD505-2E9C-101B-9397-08002B2CF9AE}" pid="12" name="MSIP_Label_9a1593e3-eb40-4b63-9198-a6ec3e998e52_ContentBits">
    <vt:lpwstr>4</vt:lpwstr>
  </property>
  <property fmtid="{D5CDD505-2E9C-101B-9397-08002B2CF9AE}" pid="13" name="MSIP_Label_9a1593e3-eb40-4b63-9198-a6ec3e998e52_Tag">
    <vt:lpwstr>10, 0, 1, 1</vt:lpwstr>
  </property>
</Properties>
</file>